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</w:p>
    <w:tbl>
      <w:tblPr>
        <w:tblpPr w:horzAnchor="page" w:tblpX="716" w:vertAnchor="text" w:tblpY="-228" w:leftFromText="180" w:topFromText="0" w:rightFromText="180" w:bottomFromText="0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27"/>
        <w:gridCol w:w="226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Номер ТЗ</w:t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</w:rPr>
            </w:r>
          </w:p>
          <w:p>
            <w:pPr>
              <w:ind w:right="-896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КИСУР (ПО </w:t>
            </w:r>
            <w:r>
              <w:rPr>
                <w:b/>
                <w:lang w:val="en-US"/>
              </w:rPr>
              <w:t xml:space="preserve">SAP</w:t>
            </w:r>
            <w:r>
              <w:rPr>
                <w:b/>
              </w:rPr>
              <w:t xml:space="preserve">)</w:t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2447237</w:t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Предоставление национального режима в соответствии с ПП 1875 от 23.12.2024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ОКПД 2</w:t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26.51.43.110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7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Мера применения национального режима (запрет, ограничение, преимущество)</w:t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ind w:right="-2"/>
              <w:spacing w:line="276" w:lineRule="auto"/>
              <w:tabs>
                <w:tab w:val="right" w:pos="10207" w:leader="none"/>
              </w:tabs>
              <w:rPr>
                <w:b/>
              </w:rPr>
            </w:pPr>
            <w:r>
              <w:rPr>
                <w:b/>
              </w:rPr>
              <w:t xml:space="preserve">ограничение</w:t>
            </w:r>
            <w:r>
              <w:rPr>
                <w:b/>
              </w:rPr>
            </w:r>
          </w:p>
        </w:tc>
      </w:tr>
    </w:tbl>
    <w:p>
      <w:pPr>
        <w:ind w:right="-2"/>
        <w:jc w:val="right"/>
        <w:spacing w:line="276" w:lineRule="auto"/>
        <w:tabs>
          <w:tab w:val="right" w:pos="10207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right="-2"/>
        <w:jc w:val="right"/>
        <w:spacing w:line="276" w:lineRule="auto"/>
        <w:tabs>
          <w:tab w:val="right" w:pos="10207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left="5103"/>
        <w:widowControl w:val="off"/>
      </w:pPr>
      <w:r>
        <w:t xml:space="preserve">УТВЕРЖДАЮ:</w:t>
      </w:r>
      <w:r/>
    </w:p>
    <w:p>
      <w:pPr>
        <w:ind w:left="5103"/>
        <w:widowControl w:val="off"/>
      </w:pPr>
      <w:r/>
      <w:r/>
    </w:p>
    <w:p>
      <w:pPr>
        <w:ind w:left="4820"/>
        <w:widowControl w:val="off"/>
      </w:pPr>
      <w:r>
        <w:t xml:space="preserve">Первый заместитель директора – главный инженер филиала ПАО «Россети Центр и Приволжье» – «Рязаньэнерго»</w:t>
      </w:r>
      <w:r>
        <w:tab/>
      </w:r>
      <w:r/>
    </w:p>
    <w:p>
      <w:pPr>
        <w:ind w:left="4820"/>
        <w:widowControl w:val="off"/>
      </w:pPr>
      <w:r/>
      <w:r/>
    </w:p>
    <w:p>
      <w:pPr>
        <w:ind w:left="4820"/>
        <w:widowControl w:val="off"/>
      </w:pPr>
      <w:r>
        <w:t xml:space="preserve">____________________ А. А. Корнилов</w:t>
      </w:r>
      <w:r/>
    </w:p>
    <w:p>
      <w:pPr>
        <w:ind w:left="4820"/>
        <w:widowControl w:val="off"/>
      </w:pPr>
      <w:r>
        <w:t xml:space="preserve">____________________________202</w:t>
      </w:r>
      <w:r>
        <w:t xml:space="preserve">6</w:t>
      </w:r>
      <w:r>
        <w:t xml:space="preserve"> г.</w:t>
      </w:r>
      <w:r/>
    </w:p>
    <w:p>
      <w:pPr>
        <w:ind w:left="-360" w:right="-82" w:firstLine="900"/>
        <w:jc w:val="both"/>
        <w:tabs>
          <w:tab w:val="left" w:pos="594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8"/>
        <w:numPr>
          <w:ilvl w:val="0"/>
          <w:numId w:val="0"/>
        </w:numPr>
        <w:spacing w:after="120"/>
      </w:pPr>
      <w:r>
        <w:t xml:space="preserve">ТЕХНИЧЕСКОЕ ЗАДАНИЕ</w:t>
      </w:r>
      <w:r/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мультиметров </w:t>
      </w:r>
      <w:r>
        <w:rPr>
          <w:b/>
          <w:sz w:val="26"/>
          <w:szCs w:val="26"/>
        </w:rPr>
        <w:t xml:space="preserve">INFORCE</w:t>
      </w:r>
      <w:r>
        <w:rPr>
          <w:b/>
          <w:sz w:val="26"/>
          <w:szCs w:val="26"/>
        </w:rPr>
        <w:t xml:space="preserve"> или эквивалента</w:t>
      </w:r>
      <w:r>
        <w:rPr>
          <w:b/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</w:t>
      </w:r>
      <w:r>
        <w:rPr>
          <w:b/>
          <w:sz w:val="26"/>
          <w:szCs w:val="26"/>
        </w:rPr>
        <w:t xml:space="preserve"> № </w:t>
      </w:r>
      <w:r>
        <w:rPr>
          <w:b/>
          <w:sz w:val="26"/>
          <w:szCs w:val="26"/>
        </w:rPr>
        <w:t xml:space="preserve">3</w:t>
      </w:r>
      <w:r>
        <w:rPr>
          <w:b/>
          <w:sz w:val="26"/>
          <w:szCs w:val="26"/>
        </w:rPr>
        <w:t xml:space="preserve">1</w:t>
      </w:r>
      <w:r>
        <w:rPr>
          <w:b/>
          <w:sz w:val="26"/>
          <w:szCs w:val="26"/>
        </w:rPr>
        <w:t xml:space="preserve">0</w:t>
      </w:r>
      <w:r>
        <w:rPr>
          <w:b/>
          <w:sz w:val="26"/>
          <w:szCs w:val="26"/>
          <w:lang w:val="en-US"/>
        </w:rPr>
        <w:t xml:space="preserve">B</w:t>
      </w:r>
      <w:r>
        <w:rPr>
          <w:b/>
          <w:sz w:val="26"/>
          <w:szCs w:val="26"/>
        </w:rPr>
      </w:r>
    </w:p>
    <w:p>
      <w:pPr>
        <w:jc w:val="center"/>
      </w:pPr>
      <w:r/>
      <w:r/>
    </w:p>
    <w:p>
      <w:pPr>
        <w:pStyle w:val="755"/>
        <w:numPr>
          <w:ilvl w:val="0"/>
          <w:numId w:val="3"/>
        </w:numPr>
        <w:ind w:left="0" w:firstLine="851"/>
        <w:jc w:val="both"/>
        <w:spacing w:line="276" w:lineRule="auto"/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 xml:space="preserve">продукции</w:t>
      </w:r>
      <w:r>
        <w:rPr>
          <w:b/>
          <w:bCs/>
          <w:sz w:val="26"/>
          <w:szCs w:val="26"/>
        </w:rPr>
        <w:t xml:space="preserve">.</w:t>
      </w:r>
      <w:r>
        <w:rPr>
          <w:b/>
          <w:bCs/>
          <w:sz w:val="26"/>
          <w:szCs w:val="26"/>
        </w:rPr>
      </w:r>
    </w:p>
    <w:p>
      <w:pPr>
        <w:spacing w:line="276" w:lineRule="auto"/>
        <w:rPr>
          <w:bCs/>
          <w:color w:val="000000"/>
          <w:sz w:val="12"/>
          <w:szCs w:val="12"/>
        </w:rPr>
      </w:pPr>
      <w:r>
        <w:t xml:space="preserve">1.1 </w:t>
      </w:r>
      <w:r>
        <w:t xml:space="preserve">Технические требов</w:t>
      </w:r>
      <w:r>
        <w:t xml:space="preserve">ания и характеристики </w:t>
      </w:r>
      <w:r>
        <w:t xml:space="preserve">приборной продукции</w:t>
      </w:r>
      <w:r>
        <w:t xml:space="preserve"> 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</w:t>
      </w:r>
      <w:r>
        <w:t xml:space="preserve">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продукцию).</w:t>
      </w:r>
      <w:r>
        <w:rPr>
          <w:bCs/>
          <w:color w:val="000000"/>
          <w:sz w:val="12"/>
          <w:szCs w:val="12"/>
        </w:rPr>
      </w:r>
    </w:p>
    <w:p>
      <w:pPr>
        <w:spacing w:line="276" w:lineRule="auto"/>
        <w:tabs>
          <w:tab w:val="left" w:pos="709" w:leader="none"/>
        </w:tabs>
      </w:pPr>
      <w:r/>
      <w:r/>
    </w:p>
    <w:p>
      <w:pPr>
        <w:pStyle w:val="756"/>
        <w:ind w:firstLine="567"/>
        <w:spacing w:line="276" w:lineRule="auto"/>
        <w:tabs>
          <w:tab w:val="left" w:pos="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</w:t>
      </w:r>
      <w:r>
        <w:rPr>
          <w:b/>
          <w:sz w:val="26"/>
          <w:szCs w:val="26"/>
        </w:rPr>
        <w:tab/>
        <w:t xml:space="preserve">Общие требования.</w:t>
      </w:r>
      <w:r>
        <w:rPr>
          <w:b/>
          <w:sz w:val="26"/>
          <w:szCs w:val="26"/>
        </w:rPr>
      </w:r>
    </w:p>
    <w:p>
      <w:pPr>
        <w:ind w:firstLine="567"/>
        <w:spacing w:line="276" w:lineRule="auto"/>
      </w:pPr>
      <w:r>
        <w:t xml:space="preserve">2.1. К поставке допускается приборная продукция, отвечающая следующим требованиям:</w:t>
      </w:r>
      <w:r/>
    </w:p>
    <w:p>
      <w:pPr>
        <w:pStyle w:val="755"/>
        <w:numPr>
          <w:ilvl w:val="0"/>
          <w:numId w:val="25"/>
        </w:numPr>
        <w:ind w:left="0" w:firstLine="567"/>
        <w:jc w:val="both"/>
        <w:spacing w:line="276" w:lineRule="auto"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продукция должна быть новой, ранее не использованной;</w:t>
      </w:r>
      <w:r>
        <w:rPr>
          <w:sz w:val="24"/>
          <w:szCs w:val="24"/>
        </w:rPr>
      </w:r>
    </w:p>
    <w:p>
      <w:pPr>
        <w:pStyle w:val="755"/>
        <w:numPr>
          <w:ilvl w:val="0"/>
          <w:numId w:val="25"/>
        </w:numPr>
        <w:ind w:left="0" w:firstLine="567"/>
        <w:jc w:val="both"/>
        <w:spacing w:line="276" w:lineRule="auto"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наличие деклараций (сертификатов), подтверждающих соответствие функциональных и технических показателей приборной продукции условиям эксплуатации и действующим отраслевым (национальным) требованиям;</w:t>
      </w:r>
      <w:r>
        <w:rPr>
          <w:sz w:val="24"/>
          <w:szCs w:val="24"/>
        </w:rPr>
      </w:r>
    </w:p>
    <w:p>
      <w:pPr>
        <w:pStyle w:val="755"/>
        <w:numPr>
          <w:ilvl w:val="0"/>
          <w:numId w:val="25"/>
        </w:numPr>
        <w:ind w:left="0" w:firstLine="567"/>
        <w:jc w:val="both"/>
        <w:spacing w:line="276" w:lineRule="auto"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для российских производителей – наличие ТУ, подтверждающих соответствие </w:t>
      </w:r>
      <w:r>
        <w:rPr>
          <w:sz w:val="24"/>
          <w:szCs w:val="24"/>
        </w:rPr>
        <w:t xml:space="preserve">техническим требованиям.</w:t>
      </w:r>
      <w:r>
        <w:rPr>
          <w:sz w:val="24"/>
          <w:szCs w:val="24"/>
        </w:rPr>
      </w:r>
    </w:p>
    <w:p>
      <w:pPr>
        <w:pStyle w:val="755"/>
        <w:ind w:left="0" w:firstLine="567"/>
        <w:spacing w:line="276" w:lineRule="auto"/>
        <w:tabs>
          <w:tab w:val="left" w:pos="0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>
        <w:rPr>
          <w:bCs/>
          <w:sz w:val="24"/>
          <w:szCs w:val="24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иную сопроводительн</w:t>
      </w:r>
      <w:r>
        <w:rPr>
          <w:bCs/>
          <w:sz w:val="24"/>
          <w:szCs w:val="24"/>
        </w:rPr>
        <w:t xml:space="preserve">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755"/>
        <w:numPr>
          <w:ilvl w:val="1"/>
          <w:numId w:val="26"/>
        </w:numPr>
        <w:ind w:left="0" w:firstLine="567"/>
        <w:jc w:val="both"/>
        <w:spacing w:line="276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Приборная продукция должна соответствовать требованиям технических условий для конкретного типа номенклатуры, </w:t>
      </w:r>
      <w:r>
        <w:rPr>
          <w:sz w:val="24"/>
          <w:szCs w:val="24"/>
        </w:rPr>
        <w:t xml:space="preserve">ГОСТ 1609-76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Провода калиброванные для электроизмерительных приборов. Технические условия.</w:t>
      </w:r>
      <w:r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ГОСТ 23625-2001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Трансформаторы напряжения измерительные лабораторные. Общие технические условия</w:t>
      </w:r>
      <w:r>
        <w:rPr>
          <w:sz w:val="24"/>
          <w:szCs w:val="24"/>
        </w:rPr>
        <w:t xml:space="preserve">.», </w:t>
      </w:r>
      <w:r>
        <w:rPr>
          <w:sz w:val="24"/>
          <w:szCs w:val="24"/>
        </w:rPr>
        <w:t xml:space="preserve">ГОСТ 112-78 «Термометры метеорологические стеклянные. Технические </w:t>
      </w:r>
      <w:r>
        <w:rPr>
          <w:sz w:val="24"/>
          <w:szCs w:val="24"/>
        </w:rPr>
        <w:t xml:space="preserve">условия»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ГОСТ 6581-75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Материалы электроизоляционные жидкие. Методы электрических испытаний</w:t>
      </w:r>
      <w:r>
        <w:rPr>
          <w:sz w:val="24"/>
          <w:szCs w:val="24"/>
        </w:rPr>
        <w:t xml:space="preserve">.».</w:t>
      </w:r>
      <w:r>
        <w:rPr>
          <w:sz w:val="24"/>
          <w:szCs w:val="24"/>
        </w:rPr>
      </w:r>
    </w:p>
    <w:p>
      <w:pPr>
        <w:pStyle w:val="755"/>
        <w:numPr>
          <w:ilvl w:val="1"/>
          <w:numId w:val="26"/>
        </w:numPr>
        <w:ind w:left="0" w:firstLine="567"/>
        <w:jc w:val="both"/>
        <w:spacing w:line="276" w:lineRule="auto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условия и сроки хранения.</w:t>
      </w:r>
      <w:r>
        <w:rPr>
          <w:sz w:val="24"/>
          <w:szCs w:val="24"/>
        </w:rPr>
      </w:r>
    </w:p>
    <w:p>
      <w:pPr>
        <w:ind w:firstLine="567"/>
        <w:spacing w:line="276" w:lineRule="auto"/>
      </w:pPr>
      <w:r>
        <w:t xml:space="preserve">Упаковка, маркировка, транспортирование, условия и сроки хранения приборной продукции должны соответствовать требованиям, указанным в технических условиях изготовителя п</w:t>
      </w:r>
      <w:r>
        <w:t xml:space="preserve">риборной продукции, ГОСТ 14192, ГОСТ 23216.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  <w:r/>
    </w:p>
    <w:p>
      <w:pPr>
        <w:pStyle w:val="756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Укладка и транспортировка приборной продукции должна предотвратить ее повреждение или порчу во время перевозки, а также выдерживать подъемно-транспортную обработку и воздействие осадков во время перевозки.</w:t>
      </w:r>
      <w:r>
        <w:rPr>
          <w:szCs w:val="24"/>
        </w:rPr>
      </w:r>
    </w:p>
    <w:p>
      <w:pPr>
        <w:pStyle w:val="755"/>
        <w:numPr>
          <w:ilvl w:val="1"/>
          <w:numId w:val="26"/>
        </w:numPr>
        <w:ind w:left="0" w:firstLine="567"/>
        <w:jc w:val="both"/>
        <w:spacing w:line="276" w:lineRule="auto"/>
        <w:tabs>
          <w:tab w:val="left" w:pos="0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изготовления приборной продукции должен быть не</w:t>
      </w:r>
      <w:r>
        <w:rPr>
          <w:sz w:val="24"/>
          <w:szCs w:val="24"/>
        </w:rPr>
        <w:t xml:space="preserve"> более полугода с </w:t>
      </w:r>
      <w:r>
        <w:rPr>
          <w:sz w:val="24"/>
          <w:szCs w:val="24"/>
        </w:rPr>
        <w:t xml:space="preserve">момента </w:t>
      </w:r>
      <w:r>
        <w:rPr>
          <w:sz w:val="24"/>
          <w:szCs w:val="24"/>
        </w:rPr>
        <w:t xml:space="preserve">заключения договора </w:t>
      </w:r>
      <w:r>
        <w:rPr>
          <w:sz w:val="24"/>
          <w:szCs w:val="24"/>
        </w:rPr>
        <w:t xml:space="preserve">поставки.</w:t>
      </w:r>
      <w:r>
        <w:rPr>
          <w:sz w:val="24"/>
          <w:szCs w:val="24"/>
        </w:rPr>
      </w:r>
    </w:p>
    <w:p>
      <w:pPr>
        <w:pStyle w:val="756"/>
        <w:spacing w:line="276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755"/>
        <w:numPr>
          <w:ilvl w:val="0"/>
          <w:numId w:val="28"/>
        </w:numPr>
        <w:ind w:left="0" w:firstLine="709"/>
        <w:jc w:val="both"/>
        <w:tabs>
          <w:tab w:val="left" w:pos="1418" w:leader="none"/>
        </w:tabs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Гарантийные обязательства. </w:t>
      </w:r>
      <w:r>
        <w:rPr>
          <w:bCs/>
          <w:sz w:val="26"/>
          <w:szCs w:val="26"/>
        </w:rPr>
      </w:r>
    </w:p>
    <w:p>
      <w:pPr>
        <w:pStyle w:val="755"/>
        <w:ind w:left="0" w:firstLine="709"/>
        <w:spacing w:line="276" w:lineRule="auto"/>
        <w:tabs>
          <w:tab w:val="left" w:pos="0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Гарантийный срок </w:t>
      </w:r>
      <w:r>
        <w:rPr>
          <w:bCs/>
          <w:sz w:val="24"/>
          <w:szCs w:val="24"/>
        </w:rPr>
        <w:t xml:space="preserve">на поставляем</w:t>
      </w:r>
      <w:r>
        <w:rPr>
          <w:bCs/>
          <w:sz w:val="24"/>
          <w:szCs w:val="24"/>
        </w:rPr>
        <w:t xml:space="preserve">ую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приборную</w:t>
      </w:r>
      <w:r>
        <w:rPr>
          <w:sz w:val="24"/>
          <w:szCs w:val="24"/>
        </w:rPr>
        <w:t xml:space="preserve"> продукци</w:t>
      </w:r>
      <w:r>
        <w:rPr>
          <w:sz w:val="24"/>
          <w:szCs w:val="24"/>
        </w:rPr>
        <w:t xml:space="preserve">ю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должен быть не менее 12 месяцев, если иное не определяется особыми условиями эксплуатации или конструктивными особенностями </w:t>
      </w:r>
      <w:r>
        <w:rPr>
          <w:bCs/>
          <w:sz w:val="24"/>
          <w:szCs w:val="24"/>
        </w:rPr>
        <w:t xml:space="preserve">приборной </w:t>
      </w:r>
      <w:r>
        <w:rPr>
          <w:bCs/>
          <w:sz w:val="24"/>
          <w:szCs w:val="24"/>
        </w:rPr>
        <w:t xml:space="preserve">продукции. Поставщик может по своему усмотрению увеличивать гарантийный срок на поставляемую продукцию, сверх указанного выше. Гарантийный срок должен быть установлен в договоре поставки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Время начала исчисления гарантийного срока – с момента ввода </w:t>
      </w:r>
      <w:r>
        <w:rPr>
          <w:bCs/>
          <w:sz w:val="24"/>
          <w:szCs w:val="24"/>
        </w:rPr>
        <w:t xml:space="preserve">приборной продукции</w:t>
      </w:r>
      <w:r>
        <w:rPr>
          <w:bCs/>
          <w:sz w:val="24"/>
          <w:szCs w:val="24"/>
        </w:rPr>
        <w:t xml:space="preserve"> в эксплуатацию. Поставщик должен за свой счет и в сроки, согласованные с Покупателем, устранять лю</w:t>
      </w:r>
      <w:r>
        <w:rPr>
          <w:bCs/>
          <w:sz w:val="24"/>
          <w:szCs w:val="24"/>
        </w:rPr>
        <w:t xml:space="preserve">бые дефекты в поставляемой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приборной продукции</w:t>
      </w:r>
      <w:r>
        <w:rPr>
          <w:bCs/>
          <w:sz w:val="24"/>
          <w:szCs w:val="24"/>
        </w:rPr>
        <w:t xml:space="preserve">, выявленные в период гарантийного срока. В случае выхода из строя </w:t>
      </w:r>
      <w:r>
        <w:rPr>
          <w:bCs/>
          <w:sz w:val="24"/>
          <w:szCs w:val="24"/>
        </w:rPr>
        <w:t xml:space="preserve">приборной продукции</w:t>
      </w:r>
      <w:r>
        <w:rPr>
          <w:bCs/>
          <w:sz w:val="24"/>
          <w:szCs w:val="24"/>
        </w:rPr>
        <w:t xml:space="preserve">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</w:t>
      </w:r>
      <w:r>
        <w:rPr>
          <w:bCs/>
          <w:sz w:val="24"/>
          <w:szCs w:val="24"/>
        </w:rPr>
        <w:t xml:space="preserve">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  <w:r>
        <w:rPr>
          <w:bCs/>
          <w:sz w:val="24"/>
          <w:szCs w:val="24"/>
        </w:rPr>
      </w:r>
    </w:p>
    <w:p>
      <w:pPr>
        <w:pStyle w:val="755"/>
        <w:ind w:left="0" w:firstLine="709"/>
        <w:tabs>
          <w:tab w:val="left" w:pos="0" w:leader="none"/>
          <w:tab w:val="left" w:pos="1418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pStyle w:val="755"/>
        <w:numPr>
          <w:ilvl w:val="0"/>
          <w:numId w:val="28"/>
        </w:numPr>
        <w:tabs>
          <w:tab w:val="left" w:pos="993" w:leader="none"/>
          <w:tab w:val="left" w:pos="1276" w:leader="none"/>
          <w:tab w:val="left" w:pos="1418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Требования к н</w:t>
      </w:r>
      <w:r>
        <w:rPr>
          <w:b/>
          <w:bCs/>
          <w:sz w:val="26"/>
          <w:szCs w:val="26"/>
        </w:rPr>
        <w:t xml:space="preserve">адежности и живучести продукции.</w:t>
      </w:r>
      <w:r>
        <w:rPr>
          <w:b/>
          <w:bCs/>
          <w:sz w:val="26"/>
          <w:szCs w:val="26"/>
        </w:rPr>
      </w:r>
    </w:p>
    <w:p>
      <w:pPr>
        <w:pStyle w:val="755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риборн</w:t>
      </w:r>
      <w:r>
        <w:rPr>
          <w:sz w:val="24"/>
          <w:szCs w:val="24"/>
        </w:rPr>
        <w:t xml:space="preserve">ая</w:t>
      </w:r>
      <w:r>
        <w:rPr>
          <w:sz w:val="24"/>
          <w:szCs w:val="24"/>
        </w:rPr>
        <w:t xml:space="preserve"> продукци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должн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функционировать, в течение установленного срока службы (до списания), который (при условии проведения требуемых технических мероприятий по обслуживанию) должен </w:t>
      </w:r>
      <w:r>
        <w:rPr>
          <w:sz w:val="24"/>
          <w:szCs w:val="24"/>
        </w:rPr>
        <w:t xml:space="preserve">соответствовать требованиям </w:t>
      </w:r>
      <w:r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технически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услови</w:t>
      </w:r>
      <w:r>
        <w:rPr>
          <w:sz w:val="24"/>
          <w:szCs w:val="24"/>
        </w:rPr>
        <w:t xml:space="preserve">ям</w:t>
      </w:r>
      <w:r>
        <w:rPr>
          <w:sz w:val="24"/>
          <w:szCs w:val="24"/>
        </w:rPr>
        <w:t xml:space="preserve"> на приборную продукцию конкретных серий и типов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755"/>
        <w:ind w:left="0" w:firstLine="709"/>
        <w:tabs>
          <w:tab w:val="left" w:pos="156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55"/>
        <w:numPr>
          <w:ilvl w:val="0"/>
          <w:numId w:val="28"/>
        </w:numPr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Маркировка, состав технической и эксплуатационной документации.</w:t>
      </w:r>
      <w:r>
        <w:rPr>
          <w:b/>
          <w:bCs/>
          <w:sz w:val="26"/>
          <w:szCs w:val="26"/>
        </w:rPr>
      </w:r>
    </w:p>
    <w:p>
      <w:pPr>
        <w:pStyle w:val="755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приборной продукции должна соответствовать требованиям </w:t>
      </w:r>
      <w:r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техническим условиям на приборную продукцию конкретных серий и типов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755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приборной продукции производится непосредственно на изделии.</w:t>
      </w:r>
      <w:r>
        <w:rPr>
          <w:sz w:val="24"/>
          <w:szCs w:val="24"/>
        </w:rPr>
      </w:r>
    </w:p>
    <w:p>
      <w:pPr>
        <w:pStyle w:val="755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приборной пр</w:t>
      </w:r>
      <w:r>
        <w:rPr>
          <w:sz w:val="24"/>
          <w:szCs w:val="24"/>
        </w:rPr>
        <w:t xml:space="preserve">одукции должна быть разборчивой и прочной, качество маркировки должно сохраняться при эксплуатации, транспортировании и хранении манометров в режимах и условиях, установленных ГОСТ или техническими условиями на приборную продукцию конкретных серий и типов.</w:t>
      </w:r>
      <w:r>
        <w:rPr>
          <w:sz w:val="24"/>
          <w:szCs w:val="24"/>
        </w:rPr>
      </w:r>
    </w:p>
    <w:p>
      <w:pPr>
        <w:pStyle w:val="755"/>
        <w:ind w:left="0" w:firstLine="709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всем видам приборной продукции Пос</w:t>
      </w:r>
      <w:r>
        <w:rPr>
          <w:sz w:val="24"/>
          <w:szCs w:val="24"/>
        </w:rPr>
        <w:t xml:space="preserve">тавщик должен предоставить полный комплект технической и эксплуатационной документации на русском языке, подготовленной в соответствии с ГОСТ 2.601 по пуску, сдаче в эксплуатацию, обеспечению правильной и безопасной эксплуатации, технического обслуживания </w:t>
      </w:r>
      <w:r>
        <w:rPr>
          <w:sz w:val="24"/>
          <w:szCs w:val="24"/>
        </w:rPr>
        <w:t xml:space="preserve">поставляемо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приборной продукции. Предоставляемая Поставщиком техническая и эксплуатационная документация для каждого </w:t>
      </w:r>
      <w:r>
        <w:rPr>
          <w:sz w:val="24"/>
          <w:szCs w:val="24"/>
        </w:rPr>
        <w:t xml:space="preserve">комплекта </w:t>
      </w:r>
      <w:r>
        <w:rPr>
          <w:sz w:val="24"/>
          <w:szCs w:val="24"/>
        </w:rPr>
        <w:t xml:space="preserve">приборной продукции должна включать:</w:t>
      </w:r>
      <w:r>
        <w:rPr>
          <w:sz w:val="24"/>
          <w:szCs w:val="24"/>
        </w:rPr>
      </w:r>
    </w:p>
    <w:p>
      <w:pPr>
        <w:pStyle w:val="755"/>
        <w:numPr>
          <w:ilvl w:val="0"/>
          <w:numId w:val="25"/>
        </w:numPr>
        <w:ind w:left="0" w:firstLine="567"/>
        <w:jc w:val="both"/>
        <w:spacing w:line="276" w:lineRule="auto"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паспорт (на каждый прибор);</w:t>
      </w:r>
      <w:r>
        <w:rPr>
          <w:sz w:val="24"/>
          <w:szCs w:val="24"/>
        </w:rPr>
      </w:r>
    </w:p>
    <w:p>
      <w:pPr>
        <w:pStyle w:val="755"/>
        <w:numPr>
          <w:ilvl w:val="0"/>
          <w:numId w:val="25"/>
        </w:numPr>
        <w:ind w:left="0" w:firstLine="567"/>
        <w:jc w:val="both"/>
        <w:spacing w:line="276" w:lineRule="auto"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руководство по эксплуатации (на каждый прибор) </w:t>
      </w:r>
      <w:r>
        <w:rPr>
          <w:sz w:val="24"/>
          <w:szCs w:val="24"/>
        </w:rPr>
      </w:r>
    </w:p>
    <w:p>
      <w:pPr>
        <w:pStyle w:val="755"/>
        <w:ind w:left="0" w:firstLine="709"/>
        <w:tabs>
          <w:tab w:val="left" w:pos="1560" w:leader="none"/>
        </w:tabs>
        <w:rPr>
          <w:sz w:val="26"/>
          <w:szCs w:val="26"/>
        </w:rPr>
      </w:pPr>
      <w:r/>
      <w:bookmarkStart w:id="0" w:name="_GoBack"/>
      <w:r/>
      <w:bookmarkEnd w:id="0"/>
      <w:r/>
      <w:r>
        <w:rPr>
          <w:sz w:val="26"/>
          <w:szCs w:val="26"/>
        </w:rPr>
      </w:r>
    </w:p>
    <w:p>
      <w:pPr>
        <w:numPr>
          <w:ilvl w:val="0"/>
          <w:numId w:val="27"/>
        </w:numPr>
        <w:ind w:left="0" w:firstLine="567"/>
        <w:jc w:val="both"/>
        <w:tabs>
          <w:tab w:val="left" w:pos="142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 xml:space="preserve">продукции</w:t>
      </w:r>
      <w:r>
        <w:rPr>
          <w:b/>
          <w:bCs/>
          <w:sz w:val="26"/>
          <w:szCs w:val="26"/>
        </w:rPr>
        <w:t xml:space="preserve">.</w:t>
      </w:r>
      <w:r>
        <w:rPr>
          <w:b/>
          <w:bCs/>
          <w:sz w:val="26"/>
          <w:szCs w:val="26"/>
        </w:rPr>
      </w:r>
    </w:p>
    <w:p>
      <w:pPr>
        <w:pStyle w:val="755"/>
        <w:ind w:left="0" w:firstLine="56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Каждая партия продукции должна пройти входной контроль, осуществляемый представителями филиалов ПАО «Россети Центр» / ПАО «Россети Центр и Приволжье» и ответственными представителями Поставщика при получении их на склад.</w:t>
      </w:r>
      <w:r>
        <w:rPr>
          <w:sz w:val="24"/>
          <w:szCs w:val="24"/>
        </w:rPr>
      </w:r>
    </w:p>
    <w:p>
      <w:pPr>
        <w:pStyle w:val="755"/>
        <w:ind w:left="0" w:firstLine="567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</w:t>
      </w:r>
      <w:r>
        <w:rPr>
          <w:sz w:val="24"/>
          <w:szCs w:val="24"/>
        </w:rPr>
      </w:r>
    </w:p>
    <w:p>
      <w:pPr>
        <w:jc w:val="both"/>
        <w:spacing w:line="276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</w:p>
    <w:p>
      <w:pPr>
        <w:jc w:val="both"/>
        <w:spacing w:line="276" w:lineRule="auto"/>
      </w:pPr>
      <w:r/>
      <w:r/>
    </w:p>
    <w:p>
      <w:pPr>
        <w:jc w:val="both"/>
      </w:pPr>
      <w:r>
        <w:t xml:space="preserve">Начальник отдела эксплуатации </w:t>
      </w:r>
      <w:r/>
    </w:p>
    <w:p>
      <w:pPr>
        <w:jc w:val="both"/>
        <w:rPr>
          <w:b/>
        </w:rPr>
      </w:pPr>
      <w:r>
        <w:t xml:space="preserve">и развития систем учета                                                  </w:t>
      </w:r>
      <w:r>
        <w:t xml:space="preserve">             </w:t>
      </w:r>
      <w:r>
        <w:t xml:space="preserve">                  С. М. Товстоган</w:t>
      </w:r>
      <w:r>
        <w:rPr>
          <w:b/>
        </w:rPr>
      </w:r>
    </w:p>
    <w:sectPr>
      <w:footnotePr/>
      <w:endnotePr/>
      <w:type w:val="nextPage"/>
      <w:pgSz w:w="11906" w:h="16838" w:orient="portrait"/>
      <w:pgMar w:top="709" w:right="851" w:bottom="680" w:left="1701" w:header="425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Helvetica, sans-serif">
    <w:panose1 w:val="02000603000000000000"/>
  </w:font>
  <w:font w:name="Verdana">
    <w:panose1 w:val="020B06040305040402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203" w:hanging="360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8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3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95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09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58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0" w:hanging="53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3.7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3.7.%2."/>
      <w:lvlJc w:val="left"/>
      <w:pPr>
        <w:ind w:left="1142" w:hanging="432"/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 w:ascii="Helvetica, sans-serif" w:hAnsi="Helvetica, sans-serif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  <w:tabs>
          <w:tab w:val="num" w:pos="1571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35" w:hanging="48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pStyle w:val="737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785" w:hanging="10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5" w:hanging="108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upperRoman"/>
      <w:pStyle w:val="727"/>
      <w:isLgl w:val="false"/>
      <w:suff w:val="tab"/>
      <w:lvlText w:val="Статья %1."/>
      <w:lvlJc w:val="left"/>
      <w:pPr>
        <w:ind w:left="0" w:firstLine="0"/>
        <w:tabs>
          <w:tab w:val="num" w:pos="1440" w:leader="none"/>
        </w:tabs>
      </w:pPr>
    </w:lvl>
    <w:lvl w:ilvl="1">
      <w:start w:val="1"/>
      <w:numFmt w:val="decimalZero"/>
      <w:pStyle w:val="728"/>
      <w:isLgl/>
      <w:suff w:val="tab"/>
      <w:lvlText w:val="Раздел %1.%2"/>
      <w:lvlJc w:val="left"/>
      <w:pPr>
        <w:ind w:left="0" w:firstLine="0"/>
        <w:tabs>
          <w:tab w:val="num" w:pos="1080" w:leader="none"/>
        </w:tabs>
      </w:pPr>
    </w:lvl>
    <w:lvl w:ilvl="2">
      <w:start w:val="1"/>
      <w:numFmt w:val="lowerLetter"/>
      <w:isLgl w:val="false"/>
      <w:suff w:val="tab"/>
      <w:lvlText w:val="(%3)"/>
      <w:lvlJc w:val="left"/>
      <w:pPr>
        <w:ind w:left="720" w:hanging="432"/>
        <w:tabs>
          <w:tab w:val="num" w:pos="720" w:leader="none"/>
        </w:tabs>
      </w:pPr>
    </w:lvl>
    <w:lvl w:ilvl="3">
      <w:start w:val="1"/>
      <w:numFmt w:val="lowerRoman"/>
      <w:isLgl w:val="false"/>
      <w:suff w:val="tab"/>
      <w:lvlText w:val="(%4)"/>
      <w:lvlJc w:val="right"/>
      <w:pPr>
        <w:ind w:left="864" w:hanging="14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5)"/>
      <w:lvlJc w:val="left"/>
      <w:pPr>
        <w:ind w:left="1008" w:hanging="432"/>
        <w:tabs>
          <w:tab w:val="num" w:pos="1008" w:leader="none"/>
        </w:tabs>
      </w:pPr>
    </w:lvl>
    <w:lvl w:ilvl="5">
      <w:start w:val="1"/>
      <w:numFmt w:val="lowerLetter"/>
      <w:isLgl w:val="false"/>
      <w:suff w:val="tab"/>
      <w:lvlText w:val="%6)"/>
      <w:lvlJc w:val="left"/>
      <w:pPr>
        <w:ind w:left="1152" w:hanging="432"/>
        <w:tabs>
          <w:tab w:val="num" w:pos="1152" w:leader="none"/>
        </w:tabs>
      </w:pPr>
    </w:lvl>
    <w:lvl w:ilvl="6">
      <w:start w:val="1"/>
      <w:numFmt w:val="lowerRoman"/>
      <w:isLgl w:val="false"/>
      <w:suff w:val="tab"/>
      <w:lvlText w:val="%7)"/>
      <w:lvlJc w:val="right"/>
      <w:pPr>
        <w:ind w:left="1296" w:hanging="288"/>
        <w:tabs>
          <w:tab w:val="num" w:pos="129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1440" w:hanging="432"/>
        <w:tabs>
          <w:tab w:val="num" w:pos="14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1584" w:hanging="14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</w:lvl>
  </w:abstractNum>
  <w:abstractNum w:abstractNumId="1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ascii="Wingdings" w:hAnsi="Wingdings"/>
      </w:r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1"/>
  </w:num>
  <w:num w:numId="5">
    <w:abstractNumId w:val="16"/>
  </w:num>
  <w:num w:numId="6">
    <w:abstractNumId w:val="11"/>
  </w:num>
  <w:num w:numId="7">
    <w:abstractNumId w:val="20"/>
  </w:num>
  <w:num w:numId="8">
    <w:abstractNumId w:val="7"/>
  </w:num>
  <w:num w:numId="9">
    <w:abstractNumId w:val="23"/>
  </w:num>
  <w:num w:numId="10">
    <w:abstractNumId w:val="19"/>
  </w:num>
  <w:num w:numId="11">
    <w:abstractNumId w:val="9"/>
  </w:num>
  <w:num w:numId="12">
    <w:abstractNumId w:val="10"/>
  </w:num>
  <w:num w:numId="13">
    <w:abstractNumId w:val="22"/>
  </w:num>
  <w:num w:numId="14">
    <w:abstractNumId w:val="5"/>
  </w:num>
  <w:num w:numId="15">
    <w:abstractNumId w:val="2"/>
  </w:num>
  <w:num w:numId="16">
    <w:abstractNumId w:val="6"/>
  </w:num>
  <w:num w:numId="17">
    <w:abstractNumId w:val="13"/>
  </w:num>
  <w:num w:numId="18">
    <w:abstractNumId w:val="4"/>
  </w:num>
  <w:num w:numId="19">
    <w:abstractNumId w:val="0"/>
  </w:num>
  <w:num w:numId="20">
    <w:abstractNumId w:val="8"/>
  </w:num>
  <w:num w:numId="21">
    <w:abstractNumId w:val="17"/>
  </w:num>
  <w:num w:numId="22">
    <w:abstractNumId w:val="26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5"/>
  </w:num>
  <w:num w:numId="26">
    <w:abstractNumId w:val="3"/>
  </w:num>
  <w:num w:numId="27">
    <w:abstractNumId w:val="1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30"/>
    <w:link w:val="727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0"/>
    <w:link w:val="728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30"/>
    <w:link w:val="729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26"/>
    <w:next w:val="72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3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26"/>
    <w:next w:val="72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3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26"/>
    <w:next w:val="72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3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26"/>
    <w:next w:val="72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3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26"/>
    <w:next w:val="72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3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26"/>
    <w:next w:val="72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3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726"/>
    <w:next w:val="72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30"/>
    <w:link w:val="34"/>
    <w:uiPriority w:val="10"/>
    <w:rPr>
      <w:sz w:val="48"/>
      <w:szCs w:val="48"/>
    </w:rPr>
  </w:style>
  <w:style w:type="paragraph" w:styleId="36">
    <w:name w:val="Subtitle"/>
    <w:basedOn w:val="726"/>
    <w:next w:val="72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30"/>
    <w:link w:val="36"/>
    <w:uiPriority w:val="11"/>
    <w:rPr>
      <w:sz w:val="24"/>
      <w:szCs w:val="24"/>
    </w:rPr>
  </w:style>
  <w:style w:type="paragraph" w:styleId="38">
    <w:name w:val="Quote"/>
    <w:basedOn w:val="726"/>
    <w:next w:val="72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26"/>
    <w:next w:val="72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30"/>
    <w:link w:val="757"/>
    <w:uiPriority w:val="99"/>
  </w:style>
  <w:style w:type="character" w:styleId="45">
    <w:name w:val="Footer Char"/>
    <w:basedOn w:val="730"/>
    <w:link w:val="748"/>
    <w:uiPriority w:val="99"/>
  </w:style>
  <w:style w:type="paragraph" w:styleId="46">
    <w:name w:val="Caption"/>
    <w:basedOn w:val="726"/>
    <w:next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48"/>
    <w:uiPriority w:val="99"/>
  </w:style>
  <w:style w:type="table" w:styleId="49">
    <w:name w:val="Table Grid Light"/>
    <w:basedOn w:val="7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2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30"/>
    <w:uiPriority w:val="99"/>
    <w:unhideWhenUsed/>
    <w:rPr>
      <w:vertAlign w:val="superscript"/>
    </w:rPr>
  </w:style>
  <w:style w:type="paragraph" w:styleId="178">
    <w:name w:val="endnote text"/>
    <w:basedOn w:val="72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30"/>
    <w:uiPriority w:val="99"/>
    <w:semiHidden/>
    <w:unhideWhenUsed/>
    <w:rPr>
      <w:vertAlign w:val="superscript"/>
    </w:rPr>
  </w:style>
  <w:style w:type="paragraph" w:styleId="181">
    <w:name w:val="toc 1"/>
    <w:basedOn w:val="726"/>
    <w:next w:val="72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26"/>
    <w:next w:val="72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26"/>
    <w:next w:val="72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26"/>
    <w:next w:val="72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26"/>
    <w:next w:val="72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26"/>
    <w:next w:val="72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26"/>
    <w:next w:val="72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26"/>
    <w:next w:val="72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26"/>
    <w:next w:val="72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26"/>
    <w:next w:val="726"/>
    <w:uiPriority w:val="99"/>
    <w:unhideWhenUsed/>
    <w:pPr>
      <w:spacing w:after="0" w:afterAutospacing="0"/>
    </w:pPr>
  </w:style>
  <w:style w:type="paragraph" w:styleId="726" w:default="1">
    <w:name w:val="Normal"/>
    <w:qFormat/>
    <w:rPr>
      <w:sz w:val="24"/>
      <w:szCs w:val="24"/>
    </w:rPr>
  </w:style>
  <w:style w:type="paragraph" w:styleId="727">
    <w:name w:val="Heading 1"/>
    <w:basedOn w:val="726"/>
    <w:next w:val="726"/>
    <w:qFormat/>
    <w:pPr>
      <w:numPr>
        <w:ilvl w:val="0"/>
        <w:numId w:val="1"/>
      </w:numPr>
      <w:keepNext/>
      <w:outlineLvl w:val="0"/>
    </w:pPr>
    <w:rPr>
      <w:b/>
      <w:bCs/>
      <w:szCs w:val="28"/>
    </w:rPr>
  </w:style>
  <w:style w:type="paragraph" w:styleId="728">
    <w:name w:val="Heading 2"/>
    <w:basedOn w:val="726"/>
    <w:next w:val="726"/>
    <w:qFormat/>
    <w:pPr>
      <w:numPr>
        <w:ilvl w:val="1"/>
        <w:numId w:val="1"/>
      </w:numPr>
      <w:jc w:val="center"/>
      <w:keepNext/>
      <w:shd w:val="clear" w:color="auto" w:fill="ffffff"/>
      <w:outlineLvl w:val="1"/>
    </w:pPr>
    <w:rPr>
      <w:b/>
      <w:bCs/>
      <w:color w:val="404040"/>
      <w:sz w:val="20"/>
      <w:szCs w:val="20"/>
    </w:rPr>
  </w:style>
  <w:style w:type="paragraph" w:styleId="729">
    <w:name w:val="Heading 3"/>
    <w:basedOn w:val="726"/>
    <w:next w:val="726"/>
    <w:link w:val="743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730" w:default="1">
    <w:name w:val="Default Paragraph Font"/>
    <w:uiPriority w:val="1"/>
    <w:semiHidden/>
    <w:unhideWhenUsed/>
  </w:style>
  <w:style w:type="table" w:styleId="7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2" w:default="1">
    <w:name w:val="No List"/>
    <w:uiPriority w:val="99"/>
    <w:semiHidden/>
    <w:unhideWhenUsed/>
  </w:style>
  <w:style w:type="paragraph" w:styleId="733">
    <w:name w:val="Body Text Indent 2"/>
    <w:basedOn w:val="726"/>
    <w:pPr>
      <w:ind w:left="720"/>
      <w:spacing w:line="360" w:lineRule="auto"/>
    </w:pPr>
    <w:rPr>
      <w:szCs w:val="28"/>
    </w:rPr>
  </w:style>
  <w:style w:type="table" w:styleId="734">
    <w:name w:val="Table Grid"/>
    <w:basedOn w:val="73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35">
    <w:name w:val="Body Text"/>
    <w:basedOn w:val="726"/>
    <w:link w:val="741"/>
    <w:pPr>
      <w:spacing w:after="120"/>
    </w:pPr>
  </w:style>
  <w:style w:type="paragraph" w:styleId="736">
    <w:name w:val="Balloon Text"/>
    <w:basedOn w:val="726"/>
    <w:semiHidden/>
    <w:rPr>
      <w:rFonts w:ascii="Tahoma" w:hAnsi="Tahoma" w:cs="Tahoma"/>
      <w:sz w:val="16"/>
      <w:szCs w:val="16"/>
    </w:rPr>
  </w:style>
  <w:style w:type="paragraph" w:styleId="737">
    <w:name w:val="List Number"/>
    <w:basedOn w:val="726"/>
    <w:pPr>
      <w:numPr>
        <w:ilvl w:val="0"/>
        <w:numId w:val="2"/>
      </w:numPr>
      <w:jc w:val="both"/>
      <w:spacing w:before="60" w:line="360" w:lineRule="auto"/>
    </w:pPr>
    <w:rPr>
      <w:sz w:val="28"/>
    </w:rPr>
  </w:style>
  <w:style w:type="paragraph" w:styleId="738" w:customStyle="1">
    <w:name w:val="Знак Знак Знак Знак Знак Знак"/>
    <w:basedOn w:val="726"/>
    <w:next w:val="727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739">
    <w:name w:val="Body Text Indent 3"/>
    <w:basedOn w:val="726"/>
    <w:link w:val="740"/>
    <w:pPr>
      <w:ind w:left="283"/>
      <w:spacing w:after="120"/>
    </w:pPr>
    <w:rPr>
      <w:sz w:val="16"/>
      <w:szCs w:val="16"/>
    </w:rPr>
  </w:style>
  <w:style w:type="character" w:styleId="740" w:customStyle="1">
    <w:name w:val="Основной текст с отступом 3 Знак"/>
    <w:link w:val="739"/>
    <w:rPr>
      <w:sz w:val="16"/>
      <w:szCs w:val="16"/>
    </w:rPr>
  </w:style>
  <w:style w:type="character" w:styleId="741" w:customStyle="1">
    <w:name w:val="Основной текст Знак"/>
    <w:link w:val="735"/>
    <w:rPr>
      <w:sz w:val="24"/>
      <w:szCs w:val="24"/>
    </w:rPr>
  </w:style>
  <w:style w:type="paragraph" w:styleId="742" w:customStyle="1">
    <w:name w:val="Основной текст 21"/>
    <w:basedOn w:val="726"/>
    <w:pPr>
      <w:ind w:left="113" w:right="232"/>
      <w:jc w:val="both"/>
      <w:spacing w:after="120" w:line="240" w:lineRule="exact"/>
    </w:pPr>
    <w:rPr>
      <w:rFonts w:ascii="Calibri" w:hAnsi="Calibri" w:eastAsia="Calibri"/>
      <w:sz w:val="22"/>
      <w:szCs w:val="22"/>
      <w:lang w:eastAsia="en-US"/>
    </w:rPr>
  </w:style>
  <w:style w:type="character" w:styleId="743" w:customStyle="1">
    <w:name w:val="Заголовок 3 Знак"/>
    <w:link w:val="729"/>
    <w:rPr>
      <w:rFonts w:ascii="Cambria" w:hAnsi="Cambria" w:eastAsia="Times New Roman" w:cs="Times New Roman"/>
      <w:b/>
      <w:bCs/>
      <w:sz w:val="26"/>
      <w:szCs w:val="26"/>
    </w:rPr>
  </w:style>
  <w:style w:type="paragraph" w:styleId="744">
    <w:name w:val="Body Text 3"/>
    <w:basedOn w:val="726"/>
    <w:link w:val="745"/>
    <w:pPr>
      <w:spacing w:after="120"/>
    </w:pPr>
    <w:rPr>
      <w:sz w:val="16"/>
      <w:szCs w:val="16"/>
    </w:rPr>
  </w:style>
  <w:style w:type="character" w:styleId="745" w:customStyle="1">
    <w:name w:val="Основной текст 3 Знак"/>
    <w:link w:val="744"/>
    <w:rPr>
      <w:sz w:val="16"/>
      <w:szCs w:val="16"/>
    </w:rPr>
  </w:style>
  <w:style w:type="paragraph" w:styleId="746">
    <w:name w:val="Body Text 2"/>
    <w:basedOn w:val="726"/>
    <w:link w:val="747"/>
    <w:pPr>
      <w:spacing w:after="120" w:line="480" w:lineRule="auto"/>
    </w:pPr>
  </w:style>
  <w:style w:type="character" w:styleId="747" w:customStyle="1">
    <w:name w:val="Основной текст 2 Знак"/>
    <w:link w:val="746"/>
    <w:rPr>
      <w:sz w:val="24"/>
      <w:szCs w:val="24"/>
    </w:rPr>
  </w:style>
  <w:style w:type="paragraph" w:styleId="748">
    <w:name w:val="Footer"/>
    <w:basedOn w:val="726"/>
    <w:link w:val="749"/>
    <w:pPr>
      <w:tabs>
        <w:tab w:val="center" w:pos="4677" w:leader="none"/>
        <w:tab w:val="right" w:pos="9355" w:leader="none"/>
      </w:tabs>
    </w:pPr>
  </w:style>
  <w:style w:type="character" w:styleId="749" w:customStyle="1">
    <w:name w:val="Нижний колонтитул Знак"/>
    <w:link w:val="748"/>
    <w:rPr>
      <w:sz w:val="24"/>
      <w:szCs w:val="24"/>
    </w:rPr>
  </w:style>
  <w:style w:type="paragraph" w:styleId="750">
    <w:name w:val="Body Text Indent"/>
    <w:basedOn w:val="726"/>
    <w:link w:val="751"/>
    <w:pPr>
      <w:ind w:left="283"/>
      <w:spacing w:after="120"/>
    </w:pPr>
  </w:style>
  <w:style w:type="character" w:styleId="751" w:customStyle="1">
    <w:name w:val="Основной текст с отступом Знак"/>
    <w:link w:val="750"/>
    <w:rPr>
      <w:sz w:val="24"/>
      <w:szCs w:val="24"/>
    </w:rPr>
  </w:style>
  <w:style w:type="character" w:styleId="752">
    <w:name w:val="annotation reference"/>
    <w:uiPriority w:val="99"/>
    <w:rPr>
      <w:sz w:val="16"/>
      <w:szCs w:val="16"/>
    </w:rPr>
  </w:style>
  <w:style w:type="paragraph" w:styleId="753">
    <w:name w:val="annotation text"/>
    <w:basedOn w:val="726"/>
    <w:link w:val="754"/>
    <w:uiPriority w:val="99"/>
    <w:rPr>
      <w:sz w:val="20"/>
      <w:szCs w:val="20"/>
    </w:rPr>
  </w:style>
  <w:style w:type="character" w:styleId="754" w:customStyle="1">
    <w:name w:val="Текст примечания Знак"/>
    <w:basedOn w:val="730"/>
    <w:link w:val="753"/>
    <w:uiPriority w:val="99"/>
  </w:style>
  <w:style w:type="paragraph" w:styleId="755">
    <w:name w:val="List Paragraph"/>
    <w:basedOn w:val="726"/>
    <w:link w:val="762"/>
    <w:uiPriority w:val="34"/>
    <w:qFormat/>
    <w:pPr>
      <w:contextualSpacing/>
      <w:ind w:left="720"/>
    </w:pPr>
    <w:rPr>
      <w:sz w:val="20"/>
      <w:szCs w:val="20"/>
    </w:rPr>
  </w:style>
  <w:style w:type="paragraph" w:styleId="756" w:customStyle="1">
    <w:name w:val="Body Text 21"/>
    <w:basedOn w:val="726"/>
    <w:pPr>
      <w:ind w:firstLine="709"/>
      <w:jc w:val="both"/>
    </w:pPr>
    <w:rPr>
      <w:szCs w:val="20"/>
    </w:rPr>
  </w:style>
  <w:style w:type="paragraph" w:styleId="757">
    <w:name w:val="Header"/>
    <w:basedOn w:val="726"/>
    <w:link w:val="758"/>
    <w:uiPriority w:val="99"/>
    <w:pPr>
      <w:tabs>
        <w:tab w:val="center" w:pos="4677" w:leader="none"/>
        <w:tab w:val="right" w:pos="9355" w:leader="none"/>
      </w:tabs>
    </w:pPr>
  </w:style>
  <w:style w:type="character" w:styleId="758" w:customStyle="1">
    <w:name w:val="Верхний колонтитул Знак"/>
    <w:link w:val="757"/>
    <w:uiPriority w:val="99"/>
    <w:rPr>
      <w:sz w:val="24"/>
      <w:szCs w:val="24"/>
    </w:rPr>
  </w:style>
  <w:style w:type="paragraph" w:styleId="759" w:customStyle="1">
    <w:name w:val="tblock"/>
    <w:basedOn w:val="726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styleId="760" w:customStyle="1">
    <w:name w:val="apple-style-span"/>
    <w:basedOn w:val="730"/>
  </w:style>
  <w:style w:type="character" w:styleId="761" w:customStyle="1">
    <w:name w:val="apple-converted-space"/>
    <w:basedOn w:val="730"/>
  </w:style>
  <w:style w:type="character" w:styleId="762" w:customStyle="1">
    <w:name w:val="Абзац списка Знак"/>
    <w:basedOn w:val="730"/>
    <w:link w:val="755"/>
    <w:uiPriority w:val="34"/>
    <w:qFormat/>
  </w:style>
  <w:style w:type="paragraph" w:styleId="763">
    <w:name w:val="Normal (Web)"/>
    <w:basedOn w:val="726"/>
    <w:uiPriority w:val="99"/>
    <w:unhideWhenUsed/>
    <w:pPr>
      <w:spacing w:before="100" w:beforeAutospacing="1" w:after="100" w:afterAutospacing="1"/>
    </w:pPr>
  </w:style>
  <w:style w:type="character" w:styleId="764" w:customStyle="1">
    <w:name w:val="grame"/>
    <w:basedOn w:val="730"/>
  </w:style>
  <w:style w:type="character" w:styleId="765">
    <w:name w:val="Strong"/>
    <w:uiPriority w:val="22"/>
    <w:qFormat/>
    <w:rPr>
      <w:b/>
      <w:bCs/>
    </w:rPr>
  </w:style>
  <w:style w:type="paragraph" w:styleId="766">
    <w:name w:val="annotation subject"/>
    <w:basedOn w:val="753"/>
    <w:next w:val="753"/>
    <w:link w:val="767"/>
    <w:rPr>
      <w:b/>
      <w:bCs/>
    </w:rPr>
  </w:style>
  <w:style w:type="character" w:styleId="767" w:customStyle="1">
    <w:name w:val="Тема примечания Знак"/>
    <w:basedOn w:val="754"/>
    <w:link w:val="766"/>
    <w:rPr>
      <w:b/>
      <w:bCs/>
    </w:rPr>
  </w:style>
  <w:style w:type="paragraph" w:styleId="768">
    <w:name w:val="Revision"/>
    <w:hidden/>
    <w:uiPriority w:val="99"/>
    <w:semiHidden/>
    <w:rPr>
      <w:sz w:val="24"/>
      <w:szCs w:val="24"/>
    </w:rPr>
  </w:style>
  <w:style w:type="paragraph" w:styleId="769" w:customStyle="1">
    <w:name w:val="Default"/>
    <w:rPr>
      <w:color w:val="000000"/>
      <w:sz w:val="24"/>
      <w:szCs w:val="24"/>
    </w:rPr>
  </w:style>
  <w:style w:type="character" w:styleId="770" w:customStyle="1">
    <w:name w:val="A2+11"/>
    <w:uiPriority w:val="99"/>
    <w:rPr>
      <w:color w:val="000000"/>
      <w:sz w:val="18"/>
      <w:szCs w:val="18"/>
    </w:rPr>
  </w:style>
  <w:style w:type="character" w:styleId="771">
    <w:name w:val="Hyperlink"/>
    <w:basedOn w:val="730"/>
    <w:unhideWhenUsed/>
    <w:rPr>
      <w:color w:val="0000ff" w:themeColor="hyperlink"/>
      <w:u w:val="single"/>
    </w:rPr>
  </w:style>
  <w:style w:type="character" w:styleId="772" w:customStyle="1">
    <w:name w:val="Неразрешенное упоминание1"/>
    <w:basedOn w:val="730"/>
    <w:uiPriority w:val="99"/>
    <w:semiHidden/>
    <w:unhideWhenUsed/>
    <w:rPr>
      <w:color w:val="605e5c"/>
      <w:shd w:val="clear" w:color="auto" w:fill="e1dfdd"/>
    </w:rPr>
  </w:style>
  <w:style w:type="character" w:styleId="773" w:customStyle="1">
    <w:name w:val="Unresolved Mention"/>
    <w:basedOn w:val="730"/>
    <w:uiPriority w:val="99"/>
    <w:semiHidden/>
    <w:unhideWhenUsed/>
    <w:rPr>
      <w:color w:val="605e5c"/>
      <w:shd w:val="clear" w:color="auto" w:fill="e1dfdd"/>
    </w:rPr>
  </w:style>
  <w:style w:type="character" w:styleId="774">
    <w:name w:val="FollowedHyperlink"/>
    <w:basedOn w:val="730"/>
    <w:semiHidden/>
    <w:unhideWhenUsed/>
    <w:rPr>
      <w:color w:val="800080" w:themeColor="followedHyperlink"/>
      <w:u w:val="single"/>
    </w:rPr>
  </w:style>
  <w:style w:type="table" w:styleId="775" w:customStyle="1">
    <w:name w:val="Сетка таблицы1"/>
    <w:basedOn w:val="731"/>
    <w:next w:val="734"/>
    <w:uiPriority w:val="59"/>
    <w:rPr>
      <w:rFonts w:ascii="Calibri" w:hAnsi="Calibri" w:eastAsia="Calibri"/>
      <w:sz w:val="22"/>
      <w:szCs w:val="22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76">
    <w:name w:val="No Spacing"/>
    <w:uiPriority w:val="1"/>
    <w:qFormat/>
    <w:rPr>
      <w:sz w:val="24"/>
      <w:szCs w:val="24"/>
    </w:rPr>
  </w:style>
  <w:style w:type="paragraph" w:styleId="777" w:customStyle="1">
    <w:name w:val="Абзац списка;Нумерованый список;List Paragraph1"/>
    <w:basedOn w:val="726"/>
    <w:link w:val="778"/>
    <w:uiPriority w:val="34"/>
    <w:qFormat/>
    <w:pPr>
      <w:contextualSpacing/>
      <w:ind w:left="720" w:firstLine="851"/>
      <w:jc w:val="both"/>
    </w:pPr>
    <w:rPr>
      <w:sz w:val="20"/>
      <w:szCs w:val="20"/>
    </w:rPr>
  </w:style>
  <w:style w:type="character" w:styleId="778" w:customStyle="1">
    <w:name w:val="Абзац списка Знак;Нумерованый список Знак;List Paragraph1 Знак"/>
    <w:link w:val="777"/>
    <w:uiPriority w:val="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D8FB2-6E94-44D9-9B0C-621CE37F5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mrsk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revision>5</cp:revision>
  <dcterms:created xsi:type="dcterms:W3CDTF">2026-08-05T12:06:00Z</dcterms:created>
  <dcterms:modified xsi:type="dcterms:W3CDTF">2026-08-05T12:55:11Z</dcterms:modified>
</cp:coreProperties>
</file>